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9D64" w14:textId="69B487A0" w:rsidR="00894C55" w:rsidRPr="000168FB" w:rsidRDefault="00816D92" w:rsidP="001B5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1B572C" w:rsidRPr="000168FB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6"/>
              <w:szCs w:val="26"/>
              <w:lang w:eastAsia="lv-LV"/>
            </w:rPr>
            <w:t>Min</w:t>
          </w:r>
          <w:r w:rsidR="00B066CA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6"/>
              <w:szCs w:val="26"/>
              <w:lang w:eastAsia="lv-LV"/>
            </w:rPr>
            <w:t xml:space="preserve">istru kabineta noteikumu projekta </w:t>
          </w:r>
          <w:r w:rsidR="006376EA" w:rsidRPr="00B066CA">
            <w:rPr>
              <w:rFonts w:ascii="Times New Roman" w:hAnsi="Times New Roman" w:cs="Times New Roman"/>
              <w:b/>
              <w:sz w:val="26"/>
              <w:szCs w:val="26"/>
            </w:rPr>
            <w:t>"</w:t>
          </w:r>
          <w:r w:rsidR="00B066CA" w:rsidRPr="00B066CA">
            <w:rPr>
              <w:rFonts w:ascii="Times New Roman" w:hAnsi="Times New Roman" w:cs="Times New Roman"/>
              <w:b/>
              <w:sz w:val="26"/>
              <w:szCs w:val="26"/>
            </w:rPr>
            <w:t>Grozījums Ministru kabineta 2015. gada 7. aprīļa noteikumos Nr.158 “Ģeotelpiskās informācijas</w:t>
          </w:r>
          <w:r w:rsidR="00B066CA">
            <w:rPr>
              <w:rFonts w:ascii="Times New Roman" w:hAnsi="Times New Roman" w:cs="Times New Roman"/>
              <w:b/>
              <w:sz w:val="26"/>
              <w:szCs w:val="26"/>
            </w:rPr>
            <w:t xml:space="preserve"> koordinācijas padomes nolikums””</w:t>
          </w:r>
        </w:sdtContent>
      </w:sdt>
      <w:r w:rsidR="001B572C" w:rsidRPr="000168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 xml:space="preserve"> </w:t>
      </w:r>
      <w:r w:rsidR="00894C55" w:rsidRPr="000168F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  <w:t>sākotnējās ietekmes novērtējuma ziņojums (anotācija)</w:t>
      </w:r>
    </w:p>
    <w:p w14:paraId="1F390250" w14:textId="67056177" w:rsidR="00E5323B" w:rsidRPr="000168FB" w:rsidRDefault="00E5323B" w:rsidP="00016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FC1919" w:rsidRPr="0069515C" w14:paraId="3553835C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A69A3" w14:textId="77777777" w:rsidR="00CD526E" w:rsidRPr="000168F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:rsidR="00FC1919" w:rsidRPr="0069515C" w14:paraId="4678B6EF" w14:textId="77777777" w:rsidTr="00663E06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31E89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75DDD" w14:textId="77777777" w:rsidR="00E5323B" w:rsidRPr="000168FB" w:rsidRDefault="0069515C" w:rsidP="00A4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hAnsi="Times New Roman" w:cs="Times New Roman"/>
                <w:bCs/>
                <w:sz w:val="26"/>
                <w:szCs w:val="26"/>
                <w:lang w:eastAsia="lv-LV"/>
              </w:rPr>
              <w:t>Atbilstoši Ministru kabineta 2009. gada 15. decembra instrukcijas Nr. 19 “Tiesību akta projekta sākotnējās ietekmes izvērtēšanas kārtība” 5.¹ punktam nav jāaizpilda.</w:t>
            </w:r>
          </w:p>
        </w:tc>
      </w:tr>
    </w:tbl>
    <w:p w14:paraId="200ECBE3" w14:textId="77777777" w:rsidR="00E5323B" w:rsidRPr="000168F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C1919" w:rsidRPr="0069515C" w14:paraId="7A3F65A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8DDE" w14:textId="77777777" w:rsidR="00CD526E" w:rsidRPr="000168F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FC1919" w:rsidRPr="0069515C" w14:paraId="2366514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B6FA3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B46E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4AF50" w14:textId="1C0A1158" w:rsidR="001D009B" w:rsidRPr="00B066CA" w:rsidRDefault="00B066CA" w:rsidP="00AB0E1E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B066CA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Projekts ir sagatavots pēc Aizsardzības min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istrijas iniciatīvas, pamatojoties uz saņemto </w:t>
            </w:r>
            <w:r w:rsidRPr="00B066CA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Latvijas atvērto tehnoloģiju asociācijas</w:t>
            </w:r>
            <w:r w:rsid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(turpmāk – LATA)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Pr="00B066CA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ie</w:t>
            </w:r>
            <w:r w:rsid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rosinājumu iekļaut asociācijas pārstāvi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Pr="00B066CA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Ģeotelpiskās informācijas koordinācijas padomes</w:t>
            </w:r>
            <w:r w:rsidR="000D2C2A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(turpmāk –</w:t>
            </w:r>
            <w:r w:rsidR="004E28B1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P</w:t>
            </w:r>
            <w:r w:rsidR="000D2C2A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adome)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sastāvā.</w:t>
            </w:r>
          </w:p>
        </w:tc>
      </w:tr>
      <w:tr w:rsidR="00FC1919" w:rsidRPr="0069515C" w14:paraId="043A677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7DF24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82838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8FC7C" w14:textId="434A0D52" w:rsidR="0080447C" w:rsidRDefault="004E28B1" w:rsidP="00AB0E1E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Pamatojoties uz Ģeotelpiskās informācijas likuma (turpmāk – ĢIL) 5.¹ pantu, ar </w:t>
            </w:r>
            <w:r w:rsidRPr="004E28B1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Ministru kabineta 2014. gada 16. decembra rīkojumu Nr. 788 “Par Ģeotelpiskās informācijas koordinācijas padomi” tik</w:t>
            </w:r>
            <w:r w:rsidR="00816D9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a apstiprināts Padomes sastāvs. Padome</w:t>
            </w:r>
            <w:r w:rsidR="00816D92" w:rsidRPr="00816D9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ir Ministru kabineta izveidota koleģiāla un koordinējoša institūcija, kuras mērķis ir nodrošināt starpinstitūciju sadarbību ģeotelpiskās informācijas jomas (tai skaitā ģeodēzijas un kartogrāfijas joma) plānošanā un politikas īstenošanā.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ĢIL </w:t>
            </w:r>
            <w:r w:rsidR="00816D9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4. panta pirmās daļas 4.</w:t>
            </w:r>
            <w:bookmarkStart w:id="0" w:name="_GoBack"/>
            <w:bookmarkEnd w:id="0"/>
            <w:r w:rsidRPr="004E28B1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punkts nosaka, ka Aizsardzības minist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rija nodrošina Padomes darbību. </w:t>
            </w:r>
            <w:r w:rsidR="00B60732"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Ministru kabineta 2015. gada 7. aprīļa noteikumu Nr.°158 “Ģeotelpiskās informācijas koordinācijas padomes nolikums”</w:t>
            </w:r>
            <w:r w:rsidR="008F102E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(turpmāk – nolikums)</w:t>
            </w:r>
            <w:r w:rsidR="00B60732"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AB0E1E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5. punktā ir noteikts </w:t>
            </w:r>
            <w:r w:rsidR="00AB0E1E" w:rsidRPr="00AB0E1E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Padomes sastāvs</w:t>
            </w:r>
            <w:r w:rsidR="00AB0E1E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, pamatojoties uz nolikuma </w:t>
            </w:r>
            <w:r w:rsidR="00B60732"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12. punktu, padomes sekretariāta funkcij</w:t>
            </w:r>
            <w:r w:rsid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as veic Aizsardzības ministrija.</w:t>
            </w:r>
            <w:r w:rsidR="00AB0E1E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</w:p>
          <w:p w14:paraId="21B4E931" w14:textId="2C68546E" w:rsidR="00B60732" w:rsidRPr="00B60732" w:rsidRDefault="00B60732" w:rsidP="00AB0E1E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2021. gada 8. aprīlī.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Padomes sekretariāts ir saņēmis LATA ierosinājumu</w:t>
            </w:r>
            <w:r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iekļaut Padomes sastāvā tās pārstāvi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. </w:t>
            </w:r>
            <w:r w:rsidR="008F102E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Asociācija</w:t>
            </w:r>
            <w:r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AF5BB9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tās pārstāvja iekļaušanu Padomes sastāvā pamatoja ar LATA mērķi</w:t>
            </w:r>
            <w:r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- būt par vadošo Latvijas informācijas un komunikāciju tehnoloģiju (IKT) nozares asociāciju, kas veicina sadarbību starp tehnoloģiju piegādātājiem un patērētājiem, t.sk. valsts un </w:t>
            </w:r>
            <w:r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lastRenderedPageBreak/>
              <w:t>pašvaldību, kā arī izglītības un zinātnes iestādēm, balstoties uz šādām pamatnostādnēm:</w:t>
            </w:r>
          </w:p>
          <w:p w14:paraId="3462B2E6" w14:textId="77777777" w:rsidR="00B60732" w:rsidRPr="00B60732" w:rsidRDefault="00B60732" w:rsidP="00B6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•</w:t>
            </w:r>
            <w:r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ab/>
              <w:t>tehnoloģiju atvērtība, sadarbspēja, atkārtota lietojamība un atvērti industrijas standarti;</w:t>
            </w:r>
          </w:p>
          <w:p w14:paraId="497600F0" w14:textId="77777777" w:rsidR="00B60732" w:rsidRPr="00B60732" w:rsidRDefault="00B60732" w:rsidP="00B6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•</w:t>
            </w:r>
            <w:r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ab/>
              <w:t>tehnoloģiju kvalitāte, efektivitāte, drošība un privātuma aizsardzība;</w:t>
            </w:r>
          </w:p>
          <w:p w14:paraId="6BA4794B" w14:textId="4F0ED9CB" w:rsidR="00B60732" w:rsidRDefault="00B60732" w:rsidP="00B60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•</w:t>
            </w:r>
            <w:r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ab/>
              <w:t>brīva un godīga konkurence tehnoloģiju izstrādes un piegādes jomā.</w:t>
            </w:r>
          </w:p>
          <w:p w14:paraId="0731147B" w14:textId="3A457C7C" w:rsidR="0080447C" w:rsidRDefault="00AF5BB9" w:rsidP="00AB0E1E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2021. gada 16. aprīli LATA priekšlikums tika izskatīts Padomes sēdē. Padome atbalstīja</w:t>
            </w:r>
            <w:r w:rsidR="00B60732" w:rsidRPr="00B60732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LATA pārstāvja iekļaušanu tās sastāvā.</w:t>
            </w:r>
          </w:p>
          <w:p w14:paraId="2E94241E" w14:textId="06B271BF" w:rsidR="003B6C6B" w:rsidRPr="000168FB" w:rsidRDefault="00AF5BB9" w:rsidP="00AB0E1E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Pamatojoties uz iepriekš minēto, </w:t>
            </w:r>
            <w:r w:rsidR="008F102E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Padomes n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olikuma 5. punkts, kas nosaka padomes sastāvu, ir papildināms ar jaunu apakšpunktu par LATA pārstāvi.</w:t>
            </w:r>
          </w:p>
        </w:tc>
      </w:tr>
      <w:tr w:rsidR="00FC1919" w:rsidRPr="0069515C" w14:paraId="73EC3C5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2962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D81EB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E151A" w14:textId="33D73964" w:rsidR="00E5323B" w:rsidRPr="000168FB" w:rsidRDefault="00406197" w:rsidP="000D2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Aizsardzības</w:t>
            </w:r>
            <w:r w:rsidR="00DC118D"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ministrija</w:t>
            </w:r>
          </w:p>
        </w:tc>
      </w:tr>
      <w:tr w:rsidR="00FC1919" w:rsidRPr="0069515C" w14:paraId="53A54BF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2E045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27FD2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E8370" w14:textId="77777777" w:rsidR="00E5323B" w:rsidRPr="000168FB" w:rsidRDefault="00DC118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Nav.</w:t>
            </w:r>
          </w:p>
        </w:tc>
      </w:tr>
    </w:tbl>
    <w:p w14:paraId="075FE1E8" w14:textId="77777777" w:rsidR="00E5323B" w:rsidRPr="000168F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C1919" w:rsidRPr="0069515C" w14:paraId="76F2E51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A23FA" w14:textId="77777777" w:rsidR="00CD526E" w:rsidRPr="000168F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C1919" w:rsidRPr="0069515C" w14:paraId="2515237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C8BAF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A60C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Sabiedrības mērķgrupas, kuras tiesiskais regulējums ietekmē</w:t>
            </w:r>
            <w:proofErr w:type="gramStart"/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9DC4C" w14:textId="7BE92DE5" w:rsidR="0080447C" w:rsidRPr="0080447C" w:rsidRDefault="0080447C" w:rsidP="008044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80447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Projektā paredzētie grozījumi </w:t>
            </w:r>
            <w:r w:rsidRPr="0080447C">
              <w:rPr>
                <w:rFonts w:ascii="Times New Roman" w:hAnsi="Times New Roman" w:cs="Times New Roman"/>
                <w:sz w:val="26"/>
                <w:szCs w:val="26"/>
              </w:rPr>
              <w:t>attiecas uz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447C">
              <w:rPr>
                <w:rFonts w:ascii="Times New Roman" w:hAnsi="Times New Roman" w:cs="Times New Roman"/>
                <w:sz w:val="26"/>
                <w:szCs w:val="26"/>
              </w:rPr>
              <w:t>Latvijas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atvērto tehnoloģiju asociāciju.</w:t>
            </w:r>
          </w:p>
        </w:tc>
      </w:tr>
      <w:tr w:rsidR="00FC1919" w:rsidRPr="0069515C" w14:paraId="07E51D1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DFCCC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7E7EA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8D2A1" w14:textId="77777777" w:rsidR="00E5323B" w:rsidRPr="000168FB" w:rsidRDefault="00406197" w:rsidP="0040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Tiesiskajam regulējumam nav ietekme uz tautsaimniecību</w:t>
            </w:r>
            <w:proofErr w:type="gramStart"/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un</w:t>
            </w:r>
            <w:proofErr w:type="gramEnd"/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tas nerada papildus administratīvo slogu</w:t>
            </w:r>
            <w:r w:rsidR="0069515C"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.</w:t>
            </w:r>
          </w:p>
        </w:tc>
      </w:tr>
      <w:tr w:rsidR="00FC1919" w:rsidRPr="0069515C" w14:paraId="5448EDC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8DFF3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4781F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10712" w14:textId="77777777" w:rsidR="00E5323B" w:rsidRPr="000168FB" w:rsidRDefault="00DC118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Nav attiecināms. </w:t>
            </w:r>
          </w:p>
        </w:tc>
      </w:tr>
      <w:tr w:rsidR="00FC1919" w:rsidRPr="0069515C" w14:paraId="2E5582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75DB0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1F3B7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F97F6" w14:textId="77777777" w:rsidR="00E5323B" w:rsidRPr="000168FB" w:rsidRDefault="00DC118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Nav attiecināms. </w:t>
            </w:r>
          </w:p>
        </w:tc>
      </w:tr>
      <w:tr w:rsidR="00FC1919" w:rsidRPr="0069515C" w14:paraId="2A0F1EA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CC8BC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D8AFE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A230A" w14:textId="77777777" w:rsidR="00E5323B" w:rsidRPr="000168FB" w:rsidRDefault="00DC118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Nav. </w:t>
            </w:r>
          </w:p>
        </w:tc>
      </w:tr>
    </w:tbl>
    <w:p w14:paraId="21170B30" w14:textId="77777777" w:rsidR="00E5323B" w:rsidRPr="000168F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C1919" w:rsidRPr="0069515C" w14:paraId="1C694C4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FE37" w14:textId="77777777" w:rsidR="00CD526E" w:rsidRPr="000168F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FC1919" w:rsidRPr="0069515C" w14:paraId="3C24765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713A" w14:textId="77777777" w:rsidR="001B6A66" w:rsidRPr="000168FB" w:rsidRDefault="0069515C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  <w:t>Rīkojuma p</w:t>
            </w:r>
            <w:r w:rsidRPr="000168F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  <w:t xml:space="preserve">rojekts </w:t>
            </w:r>
            <w:r w:rsidR="001B6A66" w:rsidRPr="000168F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  <w:t>šo jomu neskar</w:t>
            </w:r>
          </w:p>
        </w:tc>
      </w:tr>
    </w:tbl>
    <w:p w14:paraId="5DDCD141" w14:textId="77777777" w:rsidR="00E5323B" w:rsidRPr="000168F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C1919" w:rsidRPr="0069515C" w14:paraId="7510E04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88CB" w14:textId="77777777" w:rsidR="00CD526E" w:rsidRPr="000168F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FC1919" w:rsidRPr="0069515C" w14:paraId="21349DB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A2D9D" w14:textId="77777777" w:rsidR="001B6A66" w:rsidRPr="000168FB" w:rsidRDefault="0069515C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  <w:t>Rīkojuma p</w:t>
            </w:r>
            <w:r w:rsidRPr="000168F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  <w:t xml:space="preserve">rojekts </w:t>
            </w:r>
            <w:r w:rsidR="001B6A66" w:rsidRPr="000168F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  <w:t>šo jomu neskar</w:t>
            </w:r>
          </w:p>
        </w:tc>
      </w:tr>
    </w:tbl>
    <w:p w14:paraId="7A92C8AC" w14:textId="77777777" w:rsidR="00E5323B" w:rsidRPr="000168F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C1919" w:rsidRPr="0069515C" w14:paraId="08F610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56DB" w14:textId="77777777" w:rsidR="00CD526E" w:rsidRPr="000168F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FC1919" w:rsidRPr="0069515C" w14:paraId="22038E5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BBC6" w14:textId="77777777" w:rsidR="001B6A66" w:rsidRPr="000168FB" w:rsidRDefault="0069515C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  <w:t>Rīkojuma p</w:t>
            </w:r>
            <w:r w:rsidRPr="000168F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  <w:t xml:space="preserve">rojekts </w:t>
            </w:r>
            <w:r w:rsidR="001B6A66" w:rsidRPr="000168F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lv-LV"/>
              </w:rPr>
              <w:t>šo jomu neskar</w:t>
            </w:r>
          </w:p>
        </w:tc>
      </w:tr>
    </w:tbl>
    <w:p w14:paraId="7D77AF22" w14:textId="77777777" w:rsidR="00E5323B" w:rsidRPr="000168F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C1919" w:rsidRPr="0069515C" w14:paraId="127E40B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6B943" w14:textId="77777777" w:rsidR="00CD526E" w:rsidRPr="000168F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FC1919" w:rsidRPr="0069515C" w14:paraId="3130E24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872D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8E23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57E73" w14:textId="77777777" w:rsidR="00E5323B" w:rsidRPr="000168FB" w:rsidRDefault="00DC118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Nav attiecināms. </w:t>
            </w:r>
          </w:p>
        </w:tc>
      </w:tr>
      <w:tr w:rsidR="00FC1919" w:rsidRPr="0069515C" w14:paraId="523F0C8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5E290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17232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6D7BC" w14:textId="77777777" w:rsidR="00E5323B" w:rsidRPr="000168FB" w:rsidRDefault="00DC118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Nav attiecināms. </w:t>
            </w:r>
          </w:p>
        </w:tc>
      </w:tr>
      <w:tr w:rsidR="00FC1919" w:rsidRPr="0069515C" w14:paraId="0B4C16E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090F3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5A86B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B1186" w14:textId="77777777" w:rsidR="00E5323B" w:rsidRPr="000168FB" w:rsidRDefault="00DC118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Nav attiecināms. </w:t>
            </w:r>
          </w:p>
        </w:tc>
      </w:tr>
      <w:tr w:rsidR="00FC1919" w:rsidRPr="0069515C" w14:paraId="08B52BD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65703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4B414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D40A1" w14:textId="77777777" w:rsidR="00E5323B" w:rsidRPr="000168FB" w:rsidRDefault="00DC118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Nav.</w:t>
            </w:r>
          </w:p>
        </w:tc>
      </w:tr>
    </w:tbl>
    <w:p w14:paraId="2960B326" w14:textId="77777777" w:rsidR="00E5323B" w:rsidRPr="000168F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C1919" w:rsidRPr="0069515C" w14:paraId="1DFC881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587ED" w14:textId="77777777" w:rsidR="00CD526E" w:rsidRPr="000168F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FC1919" w:rsidRPr="0069515C" w14:paraId="084E941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5B22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B13B2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F86AE" w14:textId="7820DBA0" w:rsidR="00E5323B" w:rsidRPr="000168FB" w:rsidRDefault="0080447C" w:rsidP="00804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Aizsardzības ministrija, </w:t>
            </w:r>
            <w:r w:rsidRPr="0080447C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Latvijas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 atvērto tehnoloģiju asociācija</w:t>
            </w:r>
          </w:p>
        </w:tc>
      </w:tr>
      <w:tr w:rsidR="00FC1919" w:rsidRPr="0069515C" w14:paraId="0CB1EE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3BF6C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6B40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64800" w14:textId="5938ACBF" w:rsidR="00E5323B" w:rsidRPr="000168FB" w:rsidRDefault="008F102E" w:rsidP="0000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Nav ietekmes. P</w:t>
            </w:r>
            <w:r w:rsidR="00DC118D"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rojektā noteiktās funkcijas tiks īstenotas esošo institūciju kompetenču ietvaros.</w:t>
            </w:r>
          </w:p>
          <w:p w14:paraId="4094E1FF" w14:textId="77777777" w:rsidR="001C4652" w:rsidRPr="000168FB" w:rsidRDefault="001C4652" w:rsidP="0000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</w:p>
          <w:p w14:paraId="2AAEBDBE" w14:textId="77777777" w:rsidR="001C4652" w:rsidRPr="000168FB" w:rsidRDefault="001C4652" w:rsidP="00005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Jaunu institūciju izveide, esošo institūciju likvidācija vai reorganizācija nav paredzēta.</w:t>
            </w:r>
          </w:p>
        </w:tc>
      </w:tr>
      <w:tr w:rsidR="00FC1919" w:rsidRPr="0069515C" w14:paraId="7F1EE49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A16A0" w14:textId="77777777" w:rsidR="00CD526E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2C468" w14:textId="77777777" w:rsidR="00E5323B" w:rsidRPr="000168F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579D0" w14:textId="77777777" w:rsidR="00E5323B" w:rsidRPr="000168FB" w:rsidRDefault="00DC118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</w:pPr>
            <w:r w:rsidRPr="000168FB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lang w:eastAsia="lv-LV"/>
              </w:rPr>
              <w:t xml:space="preserve">Nav. </w:t>
            </w:r>
          </w:p>
        </w:tc>
      </w:tr>
    </w:tbl>
    <w:p w14:paraId="5F3498B9" w14:textId="77777777" w:rsidR="00C25B49" w:rsidRPr="000168FB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FD3D4A2" w14:textId="77777777" w:rsidR="00E5323B" w:rsidRPr="000168FB" w:rsidRDefault="00E5323B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C914C79" w14:textId="77777777" w:rsidR="00850DE7" w:rsidRPr="000168FB" w:rsidRDefault="00850DE7" w:rsidP="00850DE7">
      <w:pPr>
        <w:tabs>
          <w:tab w:val="left" w:pos="652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68FB">
        <w:rPr>
          <w:rFonts w:ascii="Times New Roman" w:hAnsi="Times New Roman" w:cs="Times New Roman"/>
          <w:sz w:val="26"/>
          <w:szCs w:val="26"/>
        </w:rPr>
        <w:t xml:space="preserve">Ministru prezidenta biedrs, </w:t>
      </w:r>
    </w:p>
    <w:p w14:paraId="6D2FC773" w14:textId="6A0AED01" w:rsidR="00850DE7" w:rsidRPr="000168FB" w:rsidRDefault="00850DE7" w:rsidP="00850DE7">
      <w:pPr>
        <w:tabs>
          <w:tab w:val="left" w:pos="6521"/>
        </w:tabs>
        <w:contextualSpacing/>
        <w:jc w:val="both"/>
        <w:rPr>
          <w:sz w:val="26"/>
          <w:szCs w:val="26"/>
        </w:rPr>
      </w:pPr>
      <w:r w:rsidRPr="000168FB">
        <w:rPr>
          <w:rFonts w:ascii="Times New Roman" w:hAnsi="Times New Roman" w:cs="Times New Roman"/>
          <w:sz w:val="26"/>
          <w:szCs w:val="26"/>
        </w:rPr>
        <w:t>aizsardzības ministrs</w:t>
      </w:r>
      <w:proofErr w:type="gramStart"/>
      <w:r w:rsidRPr="000168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proofErr w:type="gramEnd"/>
      <w:r w:rsidRPr="000168FB">
        <w:rPr>
          <w:rFonts w:ascii="Times New Roman" w:hAnsi="Times New Roman" w:cs="Times New Roman"/>
          <w:sz w:val="26"/>
          <w:szCs w:val="26"/>
        </w:rPr>
        <w:t>Artis Pabriks</w:t>
      </w:r>
    </w:p>
    <w:p w14:paraId="5D036C9A" w14:textId="77777777" w:rsidR="00894C55" w:rsidRPr="00FC19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6A4A73" w14:textId="77777777" w:rsidR="00894C55" w:rsidRPr="00FC191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B71D4D" w14:textId="77777777" w:rsidR="00894C55" w:rsidRPr="00FC191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EC1905" w14:textId="77777777" w:rsidR="00DC118D" w:rsidRPr="00FC1919" w:rsidRDefault="00DC118D" w:rsidP="00DC118D">
      <w:pPr>
        <w:spacing w:after="120"/>
        <w:rPr>
          <w:rFonts w:ascii="Times New Roman" w:hAnsi="Times New Roman" w:cs="Times New Roman"/>
          <w:color w:val="000000" w:themeColor="text1"/>
        </w:rPr>
      </w:pPr>
    </w:p>
    <w:p w14:paraId="4688AD02" w14:textId="77777777" w:rsidR="00406197" w:rsidRDefault="0040619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61F78D" w14:textId="77777777" w:rsidR="00894C55" w:rsidRPr="00406197" w:rsidRDefault="00663E0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V. Solovjova</w:t>
      </w:r>
      <w:r w:rsidR="00DC118D" w:rsidRPr="00406197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133F8" w:rsidRPr="004061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C118D" w:rsidRPr="00406197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920C70" w:rsidRPr="00406197">
        <w:rPr>
          <w:rFonts w:ascii="Times New Roman" w:hAnsi="Times New Roman" w:cs="Times New Roman"/>
          <w:color w:val="000000" w:themeColor="text1"/>
          <w:sz w:val="20"/>
          <w:szCs w:val="20"/>
        </w:rPr>
        <w:t>7335095</w:t>
      </w:r>
    </w:p>
    <w:p w14:paraId="3D629D30" w14:textId="77777777" w:rsidR="00894C55" w:rsidRPr="00DD3C16" w:rsidRDefault="00816D92" w:rsidP="00DD3C1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hyperlink r:id="rId6" w:history="1">
        <w:r w:rsidR="00663E06" w:rsidRPr="00EE3FB9">
          <w:rPr>
            <w:rStyle w:val="Hyperlink"/>
            <w:rFonts w:ascii="Times New Roman" w:hAnsi="Times New Roman" w:cs="Times New Roman"/>
            <w:sz w:val="20"/>
            <w:szCs w:val="20"/>
          </w:rPr>
          <w:t>vera.solovjova@mod.gov.lv</w:t>
        </w:r>
      </w:hyperlink>
      <w:r w:rsidR="006951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894C55" w:rsidRPr="00DD3C16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A9C88" w14:textId="77777777" w:rsidR="004E49BD" w:rsidRDefault="004E49BD" w:rsidP="00894C55">
      <w:pPr>
        <w:spacing w:after="0" w:line="240" w:lineRule="auto"/>
      </w:pPr>
      <w:r>
        <w:separator/>
      </w:r>
    </w:p>
  </w:endnote>
  <w:endnote w:type="continuationSeparator" w:id="0">
    <w:p w14:paraId="75D2BF9B" w14:textId="77777777" w:rsidR="004E49BD" w:rsidRDefault="004E49B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FD77" w14:textId="0618D00F" w:rsidR="00894C55" w:rsidRPr="00DC118D" w:rsidRDefault="000D2C2A" w:rsidP="00DC118D">
    <w:pPr>
      <w:pStyle w:val="Footer"/>
    </w:pPr>
    <w:r>
      <w:rPr>
        <w:rFonts w:ascii="Times New Roman" w:hAnsi="Times New Roman" w:cs="Times New Roman"/>
        <w:sz w:val="20"/>
        <w:szCs w:val="20"/>
      </w:rPr>
      <w:t>AiMAnot_010721_Groz_Koord_padomes_nolikuma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AFDA" w14:textId="77777777" w:rsidR="009A2654" w:rsidRPr="00803503" w:rsidRDefault="00FF4896" w:rsidP="00803503">
    <w:pPr>
      <w:pStyle w:val="Footer"/>
    </w:pPr>
    <w:r>
      <w:rPr>
        <w:rFonts w:ascii="Times New Roman" w:hAnsi="Times New Roman" w:cs="Times New Roman"/>
        <w:sz w:val="20"/>
        <w:szCs w:val="20"/>
      </w:rPr>
      <w:t>AiMAnot_0</w:t>
    </w:r>
    <w:r w:rsidR="000168FB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10</w:t>
    </w:r>
    <w:r w:rsidR="00803503" w:rsidRPr="00803503">
      <w:rPr>
        <w:rFonts w:ascii="Times New Roman" w:hAnsi="Times New Roman" w:cs="Times New Roman"/>
        <w:sz w:val="20"/>
        <w:szCs w:val="20"/>
      </w:rPr>
      <w:t>19_Groz_MK_rik_788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DFBBD" w14:textId="77777777" w:rsidR="004E49BD" w:rsidRDefault="004E49BD" w:rsidP="00894C55">
      <w:pPr>
        <w:spacing w:after="0" w:line="240" w:lineRule="auto"/>
      </w:pPr>
      <w:r>
        <w:separator/>
      </w:r>
    </w:p>
  </w:footnote>
  <w:footnote w:type="continuationSeparator" w:id="0">
    <w:p w14:paraId="26941341" w14:textId="77777777" w:rsidR="004E49BD" w:rsidRDefault="004E49B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FD9B982" w14:textId="6B286443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816D92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54F"/>
    <w:rsid w:val="000168FB"/>
    <w:rsid w:val="000C5B4C"/>
    <w:rsid w:val="000C678A"/>
    <w:rsid w:val="000D0A88"/>
    <w:rsid w:val="000D2C2A"/>
    <w:rsid w:val="00123151"/>
    <w:rsid w:val="001B27C7"/>
    <w:rsid w:val="001B44F6"/>
    <w:rsid w:val="001B572C"/>
    <w:rsid w:val="001B630F"/>
    <w:rsid w:val="001B6A66"/>
    <w:rsid w:val="001C4652"/>
    <w:rsid w:val="001D009B"/>
    <w:rsid w:val="001F669A"/>
    <w:rsid w:val="002019B6"/>
    <w:rsid w:val="00243426"/>
    <w:rsid w:val="002B543B"/>
    <w:rsid w:val="002E1C05"/>
    <w:rsid w:val="00327427"/>
    <w:rsid w:val="00332029"/>
    <w:rsid w:val="003B0BF9"/>
    <w:rsid w:val="003B6C6B"/>
    <w:rsid w:val="003E0791"/>
    <w:rsid w:val="003F28AC"/>
    <w:rsid w:val="00406197"/>
    <w:rsid w:val="004454FE"/>
    <w:rsid w:val="00456E40"/>
    <w:rsid w:val="00471F27"/>
    <w:rsid w:val="004D55B2"/>
    <w:rsid w:val="004E28B1"/>
    <w:rsid w:val="004E49BD"/>
    <w:rsid w:val="0050178F"/>
    <w:rsid w:val="005415EA"/>
    <w:rsid w:val="00584EE3"/>
    <w:rsid w:val="005B52D0"/>
    <w:rsid w:val="005E480D"/>
    <w:rsid w:val="005F7620"/>
    <w:rsid w:val="006376EA"/>
    <w:rsid w:val="00642BF7"/>
    <w:rsid w:val="00663E06"/>
    <w:rsid w:val="0067528F"/>
    <w:rsid w:val="0069515C"/>
    <w:rsid w:val="006E1081"/>
    <w:rsid w:val="006E1230"/>
    <w:rsid w:val="006E7CF9"/>
    <w:rsid w:val="00702206"/>
    <w:rsid w:val="00720585"/>
    <w:rsid w:val="00757ADF"/>
    <w:rsid w:val="00757C60"/>
    <w:rsid w:val="00773AF6"/>
    <w:rsid w:val="00794A7F"/>
    <w:rsid w:val="00795F71"/>
    <w:rsid w:val="007A130D"/>
    <w:rsid w:val="007E73AB"/>
    <w:rsid w:val="00803503"/>
    <w:rsid w:val="0080447C"/>
    <w:rsid w:val="00816C11"/>
    <w:rsid w:val="00816D92"/>
    <w:rsid w:val="00817B23"/>
    <w:rsid w:val="00837D97"/>
    <w:rsid w:val="00850DE7"/>
    <w:rsid w:val="00894C55"/>
    <w:rsid w:val="008F102E"/>
    <w:rsid w:val="00920C70"/>
    <w:rsid w:val="009A2654"/>
    <w:rsid w:val="009E1AA1"/>
    <w:rsid w:val="00A10FC3"/>
    <w:rsid w:val="00A403F4"/>
    <w:rsid w:val="00A6073E"/>
    <w:rsid w:val="00A706B9"/>
    <w:rsid w:val="00AB0E1E"/>
    <w:rsid w:val="00AC11EE"/>
    <w:rsid w:val="00AE5567"/>
    <w:rsid w:val="00AF5BB9"/>
    <w:rsid w:val="00B066CA"/>
    <w:rsid w:val="00B16480"/>
    <w:rsid w:val="00B2165C"/>
    <w:rsid w:val="00B60732"/>
    <w:rsid w:val="00B77311"/>
    <w:rsid w:val="00BA20AA"/>
    <w:rsid w:val="00BD4425"/>
    <w:rsid w:val="00BE7A40"/>
    <w:rsid w:val="00C25B49"/>
    <w:rsid w:val="00C80BDE"/>
    <w:rsid w:val="00CD526E"/>
    <w:rsid w:val="00CE0674"/>
    <w:rsid w:val="00CE5657"/>
    <w:rsid w:val="00D133F8"/>
    <w:rsid w:val="00D14A3E"/>
    <w:rsid w:val="00D46B9F"/>
    <w:rsid w:val="00DC118D"/>
    <w:rsid w:val="00DD3C16"/>
    <w:rsid w:val="00E34A09"/>
    <w:rsid w:val="00E3716B"/>
    <w:rsid w:val="00E5323B"/>
    <w:rsid w:val="00E839B7"/>
    <w:rsid w:val="00E8749E"/>
    <w:rsid w:val="00E90C01"/>
    <w:rsid w:val="00EA486E"/>
    <w:rsid w:val="00EE03D1"/>
    <w:rsid w:val="00F36A69"/>
    <w:rsid w:val="00F57B0C"/>
    <w:rsid w:val="00F92D95"/>
    <w:rsid w:val="00FA30D6"/>
    <w:rsid w:val="00FC1919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6BDF9A93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liknoteik">
    <w:name w:val="lik_noteik"/>
    <w:basedOn w:val="Normal"/>
    <w:rsid w:val="001D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1D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.solovjova@mod.gov.lv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6442B"/>
    <w:rsid w:val="00472F39"/>
    <w:rsid w:val="00523A63"/>
    <w:rsid w:val="008B623B"/>
    <w:rsid w:val="008D39C9"/>
    <w:rsid w:val="009C1B4C"/>
    <w:rsid w:val="00AD4A2F"/>
    <w:rsid w:val="00B3767C"/>
    <w:rsid w:val="00C0067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"Grozījums Ministru kabineta 2015. gada 7. aprīļa noteikumos Nr.158 “Ģeotelpiskās informācijas koordinācijas padomes nolikums”” sākotnējās ietekmes novērtējuma ziņojums (anotācija)</vt:lpstr>
    </vt:vector>
  </TitlesOfParts>
  <Manager>Visaptverošas valsts aizsardzības ieviešanas koordinācijas nodaļa</Manager>
  <Company>Aizsardzības ministrija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"Grozījums Ministru kabineta 2015. gada 7. aprīļa noteikumos Nr.158 “Ģeotelpiskās informācijas koordinācijas padomes nolikums”” sākotnējās ietekmes novērtējuma ziņojums (anotācija)</dc:title>
  <dc:subject>Anotācija</dc:subject>
  <dc:creator>Vera Solovjova</dc:creator>
  <cp:keywords>Koord_padome</cp:keywords>
  <dc:description>67335095_x000d_
vera.solovjova@mod.gov.lv</dc:description>
  <cp:lastModifiedBy>Vera Solovjova</cp:lastModifiedBy>
  <cp:revision>14</cp:revision>
  <dcterms:created xsi:type="dcterms:W3CDTF">2021-03-15T09:42:00Z</dcterms:created>
  <dcterms:modified xsi:type="dcterms:W3CDTF">2021-07-01T09:17:00Z</dcterms:modified>
</cp:coreProperties>
</file>